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Coming Up at the Council: March 2022</w:t>
      </w:r>
    </w:p>
    <w:p w:rsidR="00000000" w:rsidDel="00000000" w:rsidP="00000000" w:rsidRDefault="00000000" w:rsidRPr="00000000" w14:paraId="00000002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The FCAR Advocacy Committee is tracking both county and municipality legislation. Some noteworthy county bills include: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22-01</w:t>
        </w:r>
      </w:hyperlink>
      <w:r w:rsidDel="00000000" w:rsidR="00000000" w:rsidRPr="00000000">
        <w:rPr>
          <w:rtl w:val="0"/>
        </w:rPr>
        <w:t xml:space="preserve"> - Requires electric vehicle charging infrastructure for new residential structures. Amendment to make the requirement for only one dedicated parking space.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22-05</w:t>
        </w:r>
      </w:hyperlink>
      <w:r w:rsidDel="00000000" w:rsidR="00000000" w:rsidRPr="00000000">
        <w:rPr>
          <w:rtl w:val="0"/>
        </w:rPr>
        <w:t xml:space="preserve"> - Amend the Frederick County Code to amend Chapter 1-19 of the Frederick County Code (Zoning) to add Critical Digital Infrastructure as a new use.</w:t>
      </w:r>
    </w:p>
    <w:p w:rsidR="00000000" w:rsidDel="00000000" w:rsidP="00000000" w:rsidRDefault="00000000" w:rsidRPr="00000000" w14:paraId="00000005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To read more about all of the county bills, visit the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Council Bills</w:t>
        </w:r>
      </w:hyperlink>
      <w:r w:rsidDel="00000000" w:rsidR="00000000" w:rsidRPr="00000000">
        <w:rPr>
          <w:rtl w:val="0"/>
        </w:rPr>
        <w:t xml:space="preserve"> website. County meetings will be streamed through the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County website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Meeting Dates</w:t>
      </w:r>
    </w:p>
    <w:p w:rsidR="00000000" w:rsidDel="00000000" w:rsidP="00000000" w:rsidRDefault="00000000" w:rsidRPr="00000000" w14:paraId="00000008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Tuesday, March 1, 5:30 PM – County Council Meeting</w:t>
      </w:r>
    </w:p>
    <w:p w:rsidR="00000000" w:rsidDel="00000000" w:rsidP="00000000" w:rsidRDefault="00000000" w:rsidRPr="00000000" w14:paraId="00000009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Tuesday, March 1, 7:00 PM – County Council Public Hearing</w:t>
      </w:r>
    </w:p>
    <w:p w:rsidR="00000000" w:rsidDel="00000000" w:rsidP="00000000" w:rsidRDefault="00000000" w:rsidRPr="00000000" w14:paraId="0000000A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Tuesday, March 8, 5:30 PM – County Council Meeting</w:t>
      </w:r>
    </w:p>
    <w:p w:rsidR="00000000" w:rsidDel="00000000" w:rsidP="00000000" w:rsidRDefault="00000000" w:rsidRPr="00000000" w14:paraId="0000000B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Tuesday, March 8, 7:00 PM – County Council Public Hearing</w:t>
      </w:r>
    </w:p>
    <w:p w:rsidR="00000000" w:rsidDel="00000000" w:rsidP="00000000" w:rsidRDefault="00000000" w:rsidRPr="00000000" w14:paraId="0000000C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Tuesday, March 15, 5:30 PM – County Council Meeting</w:t>
      </w:r>
    </w:p>
    <w:p w:rsidR="00000000" w:rsidDel="00000000" w:rsidP="00000000" w:rsidRDefault="00000000" w:rsidRPr="00000000" w14:paraId="0000000D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Tuesday, March 22, 5:30 PM – County Council Workshop</w:t>
      </w:r>
    </w:p>
    <w:p w:rsidR="00000000" w:rsidDel="00000000" w:rsidP="00000000" w:rsidRDefault="00000000" w:rsidRPr="00000000" w14:paraId="0000000E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Tuesday, March 29, 5:30 PM – County Council Workshop</w:t>
      </w:r>
    </w:p>
    <w:p w:rsidR="00000000" w:rsidDel="00000000" w:rsidP="00000000" w:rsidRDefault="00000000" w:rsidRPr="00000000" w14:paraId="0000000F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RPAC Spotlight</w:t>
      </w:r>
    </w:p>
    <w:p w:rsidR="00000000" w:rsidDel="00000000" w:rsidP="00000000" w:rsidRDefault="00000000" w:rsidRPr="00000000" w14:paraId="00000011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We want to give our appreciation to the FCAR Members who were 2021 RPAC Major Investors. These individuals gave at least $1,000 to help protect our industry from harm. They are: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Amanda Addington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Kris Alcorn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Bill Armstrong (President's Circle, Golden R)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Kevin Carey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Tony "C" Checchia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Barb Davis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Brandi DIllon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Leigh Fangmeyer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Hugh Gordon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Jennifer Grove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Marla Johnson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Terry LaScola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Amos Martin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Sara Morris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Peter Murray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Maureen Nichols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Greg Phillips</w:t>
      </w:r>
    </w:p>
    <w:p w:rsidR="00000000" w:rsidDel="00000000" w:rsidP="00000000" w:rsidRDefault="00000000" w:rsidRPr="00000000" w14:paraId="00000023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You can join them in 2022, or support RPAC in any other amount, through our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online investment link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4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State Legislation Update</w:t>
      </w:r>
    </w:p>
    <w:p w:rsidR="00000000" w:rsidDel="00000000" w:rsidP="00000000" w:rsidRDefault="00000000" w:rsidRPr="00000000" w14:paraId="00000026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The 444th Legislative Session of the Maryland General Assembly kicked off on January 12, and HCAR is working closely with the Maryland REALTORS® Legislative Committee to monitor legislation that could affect your business. To read up on the bills we’ve already reviewed please view the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Maryland Realtors Legislation Status Report</w:t>
        </w:r>
      </w:hyperlink>
      <w:r w:rsidDel="00000000" w:rsidR="00000000" w:rsidRPr="00000000">
        <w:rPr>
          <w:rtl w:val="0"/>
        </w:rPr>
        <w:t xml:space="preserve">. A few of the noteworthy bills that the state is strongly supporting include: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76" w:lineRule="auto"/>
        <w:ind w:left="720" w:hanging="36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HB 553</w:t>
        </w:r>
      </w:hyperlink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Condominiums - Mandatory Insurance Coverage - Alterations</w:t>
      </w:r>
      <w:r w:rsidDel="00000000" w:rsidR="00000000" w:rsidRPr="00000000">
        <w:rPr>
          <w:rtl w:val="0"/>
        </w:rPr>
        <w:t xml:space="preserve"> - Mandatory property insurance coverage for detached units is only required to insure against the common elements.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76" w:lineRule="auto"/>
        <w:ind w:left="720" w:hanging="360"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HB 568/SB 425</w:t>
        </w:r>
      </w:hyperlink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Real Estate Associate Brokers and Salespersons - Compensation - Payment From Title Insurance Producer</w:t>
      </w:r>
      <w:r w:rsidDel="00000000" w:rsidR="00000000" w:rsidRPr="00000000">
        <w:rPr>
          <w:rtl w:val="0"/>
        </w:rPr>
        <w:t xml:space="preserve"> - Authorizes a licensed title insurance producer to pay compensation for the provision of real estate brokerage services to associate real estate brokers, real estate salespersons, or business entities on behalf of a real estate broker during a property settlement.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76" w:lineRule="auto"/>
        <w:ind w:left="720" w:hanging="360"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HB 720/SB 424</w:t>
        </w:r>
      </w:hyperlink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Real Estate - Real Estate Brokerage Services and Termination of Residential Real Estate Contracts (The Anthony Moorman Act)</w:t>
      </w:r>
      <w:r w:rsidDel="00000000" w:rsidR="00000000" w:rsidRPr="00000000">
        <w:rPr>
          <w:rtl w:val="0"/>
        </w:rPr>
        <w:t xml:space="preserve"> - Requires a real estate broker or an escrow agent to distribute trust money to a purchaser, if the purchaser terminates a residential real estate contract under the terms of a contingency clause, within 30 days after written notice of termination is sent to the holder of the trust money.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76" w:lineRule="auto"/>
        <w:ind w:left="720" w:hanging="360"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HB 807</w:t>
        </w:r>
      </w:hyperlink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Real Estate Brokers, Salespersons, and Associate Brokers - Continuing Education Courses - Verification of Identity</w:t>
      </w:r>
      <w:r w:rsidDel="00000000" w:rsidR="00000000" w:rsidRPr="00000000">
        <w:rPr>
          <w:rtl w:val="0"/>
        </w:rPr>
        <w:t xml:space="preserve"> - Requires an instructor of a continuing education course to require an individual enrolled in the course to provide photo identification or, for a virtual course, a signed affidavit attesting to the identity of the individual.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76" w:lineRule="auto"/>
        <w:ind w:left="720" w:hanging="360"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HB 1162</w:t>
        </w:r>
      </w:hyperlink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Campaign Finance - Collections by Membership Entities - Noncampaign Political Activity </w:t>
      </w:r>
      <w:r w:rsidDel="00000000" w:rsidR="00000000" w:rsidRPr="00000000">
        <w:rPr>
          <w:rtl w:val="0"/>
        </w:rPr>
        <w:t xml:space="preserve">- Authorizes a membership entity to require a member to donate up to a specified amount to “noncampaign political activity” of the membership entity if the member chooses not to contribute to a political action committee affiliated with the membership entity.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76" w:lineRule="auto"/>
        <w:ind w:left="720" w:hanging="360"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HB 1259/SB 871</w:t>
        </w:r>
      </w:hyperlink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Accessory Dwelling Unit Authorization and Promotion Act </w:t>
      </w:r>
      <w:r w:rsidDel="00000000" w:rsidR="00000000" w:rsidRPr="00000000">
        <w:rPr>
          <w:rtl w:val="0"/>
        </w:rPr>
        <w:t xml:space="preserve">- Requires each legislative body to adopt a local law authorizing the development of accessory dwelling units (ADUs) on land zoned for single-family residential use by October 1, 2023.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6D25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B0D17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6B4422"/>
    <w:pPr>
      <w:ind w:left="720"/>
      <w:contextualSpacing w:val="1"/>
    </w:p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DE74D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car.org/rpac" TargetMode="External"/><Relationship Id="rId10" Type="http://schemas.openxmlformats.org/officeDocument/2006/relationships/hyperlink" Target="http://www.frederickcountymd.gov/councilmeetings" TargetMode="External"/><Relationship Id="rId13" Type="http://schemas.openxmlformats.org/officeDocument/2006/relationships/hyperlink" Target="http://mgaleg.maryland.gov/mgawebsite/Legislation/Details/HB0553?ys=2022RS" TargetMode="External"/><Relationship Id="rId12" Type="http://schemas.openxmlformats.org/officeDocument/2006/relationships/hyperlink" Target="http://206.125.169.9/RealtorStatusReport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rederickcountymd.gov/8283/Council-Bills-2022" TargetMode="External"/><Relationship Id="rId15" Type="http://schemas.openxmlformats.org/officeDocument/2006/relationships/hyperlink" Target="http://mgaleg.maryland.gov/mgawebsite/Legislation/Details/HB0720?ys=2022RS" TargetMode="External"/><Relationship Id="rId14" Type="http://schemas.openxmlformats.org/officeDocument/2006/relationships/hyperlink" Target="http://mgaleg.maryland.gov/mgawebsite/Legislation/Details/HB0568?ys=2022RS" TargetMode="External"/><Relationship Id="rId17" Type="http://schemas.openxmlformats.org/officeDocument/2006/relationships/hyperlink" Target="http://mgaleg.maryland.gov/mgawebsite/Legislation/Details/HB1162?ys=2022RS" TargetMode="External"/><Relationship Id="rId16" Type="http://schemas.openxmlformats.org/officeDocument/2006/relationships/hyperlink" Target="http://mgaleg.maryland.gov/mgawebsite/Legislation/Details/HB0807?ys=2022R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://mgaleg.maryland.gov/mgawebsite/Legislation/Details/HB1259?ys=2022RS" TargetMode="External"/><Relationship Id="rId7" Type="http://schemas.openxmlformats.org/officeDocument/2006/relationships/hyperlink" Target="https://frederickcountymd.gov/DocumentCenter/View/335770/PROPOSED-BILL---EV-PV" TargetMode="External"/><Relationship Id="rId8" Type="http://schemas.openxmlformats.org/officeDocument/2006/relationships/hyperlink" Target="https://www.frederickcountymd.gov/DocumentCenter/View/336510/3122-Bill-No-22-05--Amendments-to-Ch-1-19-of-FCG-Zoning-Ord---Add-Critical-Digital-Infrastructure-as-a-New-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DfFNa2ydaN/LyFXg1Gdlj7VeRQ==">AMUW2mWC8xEpngWHJBnR7tvhZtGY52PiW2vHzVkwjoHH3FlD3IkiPva1uJTc2y1UFF23mx9Y7dhe3COt0RrsyxHO037FTNOUbUgra3EM7N0xAtjlWl90MBE=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2021-10-25T16:18:00Z</dcterms:created>
  <dc:creator>Lisa May</dc:creator>
</cp:coreProperties>
</file>